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DE" w:rsidRDefault="000B37DE" w:rsidP="000B37DE">
      <w:pPr>
        <w:rPr>
          <w:rFonts w:ascii="Tahoma" w:eastAsia="Times New Roman" w:hAnsi="Tahoma" w:cs="Tahoma"/>
          <w:sz w:val="20"/>
          <w:szCs w:val="20"/>
          <w:lang w:val="en-US"/>
        </w:rPr>
      </w:pPr>
    </w:p>
    <w:p w:rsidR="000B37DE" w:rsidRDefault="000B37DE" w:rsidP="000B37DE"/>
    <w:tbl>
      <w:tblPr>
        <w:tblW w:w="5000" w:type="pct"/>
        <w:jc w:val="center"/>
        <w:shd w:val="clear" w:color="auto" w:fill="FFFFF0"/>
        <w:tblCellMar>
          <w:left w:w="0" w:type="dxa"/>
          <w:right w:w="0" w:type="dxa"/>
        </w:tblCellMar>
        <w:tblLook w:val="04A0" w:firstRow="1" w:lastRow="0" w:firstColumn="1" w:lastColumn="0" w:noHBand="0" w:noVBand="1"/>
      </w:tblPr>
      <w:tblGrid>
        <w:gridCol w:w="9626"/>
      </w:tblGrid>
      <w:tr w:rsidR="000B37DE" w:rsidTr="000B37DE">
        <w:trPr>
          <w:jc w:val="center"/>
        </w:trPr>
        <w:tc>
          <w:tcPr>
            <w:tcW w:w="5000" w:type="pct"/>
            <w:shd w:val="clear" w:color="auto" w:fill="FFFFF0"/>
            <w:tcMar>
              <w:top w:w="300" w:type="dxa"/>
              <w:left w:w="300" w:type="dxa"/>
              <w:bottom w:w="300" w:type="dxa"/>
              <w:right w:w="300" w:type="dxa"/>
            </w:tcMar>
            <w:hideMark/>
          </w:tcPr>
          <w:tbl>
            <w:tblPr>
              <w:tblW w:w="7200" w:type="dxa"/>
              <w:jc w:val="center"/>
              <w:tblBorders>
                <w:top w:val="single" w:sz="36" w:space="0" w:color="800000"/>
                <w:left w:val="single" w:sz="36" w:space="0" w:color="800000"/>
                <w:bottom w:val="single" w:sz="36" w:space="0" w:color="800000"/>
                <w:right w:val="single" w:sz="36" w:space="0" w:color="800000"/>
              </w:tblBorders>
              <w:tblCellMar>
                <w:left w:w="0" w:type="dxa"/>
                <w:right w:w="0" w:type="dxa"/>
              </w:tblCellMar>
              <w:tblLook w:val="04A0" w:firstRow="1" w:lastRow="0" w:firstColumn="1" w:lastColumn="0" w:noHBand="0" w:noVBand="1"/>
            </w:tblPr>
            <w:tblGrid>
              <w:gridCol w:w="7410"/>
            </w:tblGrid>
            <w:tr w:rsidR="000B37DE">
              <w:trPr>
                <w:jc w:val="center"/>
              </w:trPr>
              <w:tc>
                <w:tcPr>
                  <w:tcW w:w="0" w:type="auto"/>
                  <w:tcBorders>
                    <w:top w:val="single" w:sz="36" w:space="0" w:color="800000"/>
                    <w:left w:val="single" w:sz="36" w:space="0" w:color="800000"/>
                    <w:bottom w:val="nil"/>
                    <w:right w:val="single" w:sz="36" w:space="0" w:color="800000"/>
                  </w:tcBorders>
                  <w:hideMark/>
                </w:tcPr>
                <w:tbl>
                  <w:tblPr>
                    <w:tblW w:w="7200" w:type="dxa"/>
                    <w:jc w:val="center"/>
                    <w:shd w:val="clear" w:color="auto" w:fill="FFFFFF"/>
                    <w:tblCellMar>
                      <w:left w:w="0" w:type="dxa"/>
                      <w:right w:w="0" w:type="dxa"/>
                    </w:tblCellMar>
                    <w:tblLook w:val="04A0" w:firstRow="1" w:lastRow="0" w:firstColumn="1" w:lastColumn="0" w:noHBand="0" w:noVBand="1"/>
                  </w:tblPr>
                  <w:tblGrid>
                    <w:gridCol w:w="7200"/>
                  </w:tblGrid>
                  <w:tr w:rsidR="000B37DE">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200"/>
                        </w:tblGrid>
                        <w:tr w:rsidR="000B37DE">
                          <w:tc>
                            <w:tcPr>
                              <w:tcW w:w="0" w:type="auto"/>
                              <w:hideMark/>
                            </w:tcPr>
                            <w:tbl>
                              <w:tblPr>
                                <w:tblpPr w:leftFromText="36" w:rightFromText="36" w:vertAnchor="text"/>
                                <w:tblW w:w="4392" w:type="dxa"/>
                                <w:tblCellMar>
                                  <w:left w:w="0" w:type="dxa"/>
                                  <w:right w:w="0" w:type="dxa"/>
                                </w:tblCellMar>
                                <w:tblLook w:val="04A0" w:firstRow="1" w:lastRow="0" w:firstColumn="1" w:lastColumn="0" w:noHBand="0" w:noVBand="1"/>
                              </w:tblPr>
                              <w:tblGrid>
                                <w:gridCol w:w="4392"/>
                              </w:tblGrid>
                              <w:tr w:rsidR="000B37DE">
                                <w:tc>
                                  <w:tcPr>
                                    <w:tcW w:w="0" w:type="auto"/>
                                    <w:tcMar>
                                      <w:top w:w="135" w:type="dxa"/>
                                      <w:left w:w="270" w:type="dxa"/>
                                      <w:bottom w:w="135" w:type="dxa"/>
                                      <w:right w:w="0" w:type="dxa"/>
                                    </w:tcMar>
                                    <w:hideMark/>
                                  </w:tcPr>
                                  <w:p w:rsidR="000B37DE" w:rsidRDefault="000B37DE">
                                    <w:pPr>
                                      <w:spacing w:line="300" w:lineRule="auto"/>
                                      <w:rPr>
                                        <w:rFonts w:ascii="Helvetica" w:eastAsia="Times New Roman" w:hAnsi="Helvetica" w:cs="Helvetica"/>
                                        <w:color w:val="000000"/>
                                        <w:sz w:val="17"/>
                                        <w:szCs w:val="17"/>
                                      </w:rPr>
                                    </w:pPr>
                                    <w:r>
                                      <w:rPr>
                                        <w:rFonts w:ascii="Helvetica" w:eastAsia="Times New Roman" w:hAnsi="Helvetica" w:cs="Helvetica"/>
                                        <w:color w:val="000000"/>
                                        <w:sz w:val="17"/>
                                        <w:szCs w:val="17"/>
                                      </w:rPr>
                                      <w:t>Welcome to the latest newsletter from PAS.</w:t>
                                    </w:r>
                                    <w:r>
                                      <w:rPr>
                                        <w:rFonts w:ascii="Helvetica" w:eastAsia="Times New Roman" w:hAnsi="Helvetica" w:cs="Helvetica"/>
                                        <w:color w:val="000000"/>
                                        <w:sz w:val="17"/>
                                        <w:szCs w:val="17"/>
                                      </w:rPr>
                                      <w:br/>
                                    </w:r>
                                    <w:r>
                                      <w:rPr>
                                        <w:rFonts w:ascii="Helvetica" w:eastAsia="Times New Roman" w:hAnsi="Helvetica" w:cs="Helvetica"/>
                                        <w:color w:val="000000"/>
                                        <w:sz w:val="17"/>
                                        <w:szCs w:val="17"/>
                                      </w:rPr>
                                      <w:br/>
                                      <w:t xml:space="preserve">  </w:t>
                                    </w:r>
                                  </w:p>
                                </w:tc>
                              </w:tr>
                            </w:tbl>
                            <w:tbl>
                              <w:tblPr>
                                <w:tblpPr w:leftFromText="36" w:rightFromText="36" w:vertAnchor="text" w:tblpXSpec="right" w:tblpYSpec="center"/>
                                <w:tblW w:w="2364" w:type="dxa"/>
                                <w:tblCellMar>
                                  <w:left w:w="0" w:type="dxa"/>
                                  <w:right w:w="0" w:type="dxa"/>
                                </w:tblCellMar>
                                <w:tblLook w:val="04A0" w:firstRow="1" w:lastRow="0" w:firstColumn="1" w:lastColumn="0" w:noHBand="0" w:noVBand="1"/>
                              </w:tblPr>
                              <w:tblGrid>
                                <w:gridCol w:w="2364"/>
                              </w:tblGrid>
                              <w:tr w:rsidR="000B37DE">
                                <w:tc>
                                  <w:tcPr>
                                    <w:tcW w:w="0" w:type="auto"/>
                                    <w:tcMar>
                                      <w:top w:w="135" w:type="dxa"/>
                                      <w:left w:w="0" w:type="dxa"/>
                                      <w:bottom w:w="135" w:type="dxa"/>
                                      <w:right w:w="270" w:type="dxa"/>
                                    </w:tcMar>
                                    <w:hideMark/>
                                  </w:tcPr>
                                  <w:p w:rsidR="000B37DE" w:rsidRDefault="000B37DE">
                                    <w:pPr>
                                      <w:spacing w:line="300" w:lineRule="auto"/>
                                      <w:rPr>
                                        <w:rFonts w:ascii="Helvetica" w:eastAsia="Times New Roman" w:hAnsi="Helvetica" w:cs="Helvetica"/>
                                        <w:color w:val="000000"/>
                                        <w:sz w:val="17"/>
                                        <w:szCs w:val="17"/>
                                      </w:rPr>
                                    </w:pPr>
                                    <w:hyperlink r:id="rId5" w:tgtFrame="_blank" w:history="1">
                                      <w:r>
                                        <w:rPr>
                                          <w:rStyle w:val="Hyperlink"/>
                                          <w:rFonts w:ascii="Helvetica" w:eastAsia="Times New Roman" w:hAnsi="Helvetica" w:cs="Helvetica"/>
                                          <w:color w:val="000000"/>
                                          <w:sz w:val="17"/>
                                          <w:szCs w:val="17"/>
                                        </w:rPr>
                                        <w:t>View this email in your browser</w:t>
                                      </w:r>
                                    </w:hyperlink>
                                    <w:r>
                                      <w:rPr>
                                        <w:rFonts w:ascii="Helvetica" w:eastAsia="Times New Roman" w:hAnsi="Helvetica" w:cs="Helvetica"/>
                                        <w:color w:val="000000"/>
                                        <w:sz w:val="17"/>
                                        <w:szCs w:val="17"/>
                                      </w:rPr>
                                      <w:t xml:space="preserve"> </w:t>
                                    </w:r>
                                  </w:p>
                                </w:tc>
                              </w:tr>
                            </w:tbl>
                            <w:p w:rsidR="000B37DE" w:rsidRDefault="000B37DE">
                              <w:pPr>
                                <w:rPr>
                                  <w:rFonts w:eastAsia="Times New Roman"/>
                                  <w:sz w:val="20"/>
                                  <w:szCs w:val="20"/>
                                </w:rPr>
                              </w:pPr>
                            </w:p>
                          </w:tc>
                        </w:tr>
                      </w:tbl>
                      <w:p w:rsidR="000B37DE" w:rsidRDefault="000B37DE">
                        <w:pPr>
                          <w:rPr>
                            <w:rFonts w:eastAsia="Times New Roman"/>
                            <w:sz w:val="20"/>
                            <w:szCs w:val="20"/>
                          </w:rPr>
                        </w:pPr>
                      </w:p>
                    </w:tc>
                  </w:tr>
                </w:tbl>
                <w:p w:rsidR="000B37DE" w:rsidRDefault="000B37DE">
                  <w:pPr>
                    <w:jc w:val="center"/>
                    <w:rPr>
                      <w:rFonts w:eastAsia="Times New Roman"/>
                      <w:sz w:val="20"/>
                      <w:szCs w:val="20"/>
                    </w:rPr>
                  </w:pPr>
                </w:p>
              </w:tc>
            </w:tr>
            <w:tr w:rsidR="000B37DE">
              <w:trPr>
                <w:jc w:val="center"/>
              </w:trPr>
              <w:tc>
                <w:tcPr>
                  <w:tcW w:w="0" w:type="auto"/>
                  <w:tcBorders>
                    <w:top w:val="nil"/>
                    <w:left w:val="single" w:sz="36" w:space="0" w:color="800000"/>
                    <w:bottom w:val="nil"/>
                    <w:right w:val="single" w:sz="36" w:space="0" w:color="800000"/>
                  </w:tcBorders>
                  <w:hideMark/>
                </w:tcPr>
                <w:tbl>
                  <w:tblPr>
                    <w:tblW w:w="7200" w:type="dxa"/>
                    <w:jc w:val="center"/>
                    <w:shd w:val="clear" w:color="auto" w:fill="FFFFFF"/>
                    <w:tblCellMar>
                      <w:left w:w="0" w:type="dxa"/>
                      <w:right w:w="0" w:type="dxa"/>
                    </w:tblCellMar>
                    <w:tblLook w:val="04A0" w:firstRow="1" w:lastRow="0" w:firstColumn="1" w:lastColumn="0" w:noHBand="0" w:noVBand="1"/>
                  </w:tblPr>
                  <w:tblGrid>
                    <w:gridCol w:w="7200"/>
                  </w:tblGrid>
                  <w:tr w:rsidR="000B37DE">
                    <w:trPr>
                      <w:jc w:val="center"/>
                    </w:trPr>
                    <w:tc>
                      <w:tcPr>
                        <w:tcW w:w="0" w:type="auto"/>
                        <w:shd w:val="clear" w:color="auto" w:fill="FFFFFF"/>
                        <w:hideMark/>
                      </w:tcPr>
                      <w:p w:rsidR="000B37DE" w:rsidRDefault="000B37DE">
                        <w:pPr>
                          <w:rPr>
                            <w:rFonts w:eastAsia="Times New Roman"/>
                            <w:sz w:val="20"/>
                            <w:szCs w:val="20"/>
                          </w:rPr>
                        </w:pPr>
                      </w:p>
                    </w:tc>
                  </w:tr>
                </w:tbl>
                <w:p w:rsidR="000B37DE" w:rsidRDefault="000B37DE">
                  <w:pPr>
                    <w:jc w:val="center"/>
                    <w:rPr>
                      <w:rFonts w:eastAsia="Times New Roman"/>
                      <w:sz w:val="20"/>
                      <w:szCs w:val="20"/>
                    </w:rPr>
                  </w:pPr>
                </w:p>
              </w:tc>
            </w:tr>
            <w:tr w:rsidR="000B37DE">
              <w:trPr>
                <w:jc w:val="center"/>
              </w:trPr>
              <w:tc>
                <w:tcPr>
                  <w:tcW w:w="0" w:type="auto"/>
                  <w:tcBorders>
                    <w:top w:val="nil"/>
                    <w:left w:val="single" w:sz="36" w:space="0" w:color="800000"/>
                    <w:bottom w:val="nil"/>
                    <w:right w:val="single" w:sz="36" w:space="0" w:color="800000"/>
                  </w:tcBorders>
                  <w:hideMark/>
                </w:tcPr>
                <w:tbl>
                  <w:tblPr>
                    <w:tblW w:w="7200" w:type="dxa"/>
                    <w:jc w:val="center"/>
                    <w:shd w:val="clear" w:color="auto" w:fill="FFFFFF"/>
                    <w:tblCellMar>
                      <w:left w:w="0" w:type="dxa"/>
                      <w:right w:w="0" w:type="dxa"/>
                    </w:tblCellMar>
                    <w:tblLook w:val="04A0" w:firstRow="1" w:lastRow="0" w:firstColumn="1" w:lastColumn="0" w:noHBand="0" w:noVBand="1"/>
                  </w:tblPr>
                  <w:tblGrid>
                    <w:gridCol w:w="7320"/>
                  </w:tblGrid>
                  <w:tr w:rsidR="000B37DE">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pStyle w:val="Heading3"/>
                                      <w:rPr>
                                        <w:rFonts w:eastAsia="Times New Roman"/>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11580" cy="1165860"/>
                                          <wp:effectExtent l="0" t="0" r="7620" b="0"/>
                                          <wp:wrapSquare wrapText="bothSides"/>
                                          <wp:docPr id="5" name="Picture 5" descr="https://gallery.mailchimp.com/e2fa77ff74ae2b6cdc9fd583b/images/7ad00416-0fa2-4a1d-ac9a-8fbb237ee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2fa77ff74ae2b6cdc9fd583b/images/7ad00416-0fa2-4a1d-ac9a-8fbb237eebde.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11580" cy="116586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Welcome to our March 2016 update. </w:t>
                                    </w:r>
                                    <w:r>
                                      <w:rPr>
                                        <w:rFonts w:eastAsia="Times New Roman"/>
                                      </w:rPr>
                                      <w:br/>
                                    </w:r>
                                    <w:r>
                                      <w:rPr>
                                        <w:rFonts w:eastAsia="Times New Roman"/>
                                      </w:rPr>
                                      <w:br/>
                                      <w:t xml:space="preserve">If you would like further information please go to our </w:t>
                                    </w:r>
                                    <w:hyperlink r:id="rId7" w:tgtFrame="_blank" w:history="1">
                                      <w:r>
                                        <w:rPr>
                                          <w:rStyle w:val="Hyperlink"/>
                                          <w:rFonts w:eastAsia="Times New Roman"/>
                                          <w:b w:val="0"/>
                                          <w:bCs w:val="0"/>
                                          <w:color w:val="000080"/>
                                        </w:rPr>
                                        <w:t>website</w:t>
                                      </w:r>
                                    </w:hyperlink>
                                    <w:r>
                                      <w:rPr>
                                        <w:rFonts w:eastAsia="Times New Roman"/>
                                      </w:rPr>
                                      <w:t xml:space="preserve"> or contact us at </w:t>
                                    </w:r>
                                    <w:hyperlink r:id="rId8" w:tgtFrame="_blank" w:history="1">
                                      <w:r>
                                        <w:rPr>
                                          <w:rStyle w:val="Hyperlink"/>
                                          <w:rFonts w:eastAsia="Times New Roman"/>
                                          <w:b w:val="0"/>
                                          <w:bCs w:val="0"/>
                                          <w:color w:val="000080"/>
                                        </w:rPr>
                                        <w:t>admin@prisonersadvice.org.uk</w:t>
                                      </w:r>
                                    </w:hyperlink>
                                    <w:r>
                                      <w:rPr>
                                        <w:rFonts w:eastAsia="Times New Roman"/>
                                      </w:rPr>
                                      <w:t>.</w:t>
                                    </w:r>
                                    <w:r>
                                      <w:rPr>
                                        <w:rFonts w:eastAsia="Times New Roman"/>
                                      </w:rPr>
                                      <w:br/>
                                      <w:t> </w:t>
                                    </w:r>
                                  </w:p>
                                  <w:p w:rsidR="000B37DE" w:rsidRDefault="000B37DE">
                                    <w:pPr>
                                      <w:pStyle w:val="Heading3"/>
                                      <w:rPr>
                                        <w:rFonts w:eastAsia="Times New Roman"/>
                                      </w:rPr>
                                    </w:pPr>
                                    <w:r>
                                      <w:rPr>
                                        <w:rFonts w:eastAsia="Times New Roman"/>
                                      </w:rPr>
                                      <w:t xml:space="preserve">Follow us on </w:t>
                                    </w:r>
                                    <w:hyperlink r:id="rId9" w:tgtFrame="_blank" w:history="1">
                                      <w:r>
                                        <w:rPr>
                                          <w:rStyle w:val="Hyperlink"/>
                                          <w:rFonts w:eastAsia="Times New Roman"/>
                                          <w:b w:val="0"/>
                                          <w:bCs w:val="0"/>
                                          <w:color w:val="000080"/>
                                        </w:rPr>
                                        <w:t>Twitter</w:t>
                                      </w:r>
                                    </w:hyperlink>
                                    <w:r>
                                      <w:rPr>
                                        <w:rFonts w:eastAsia="Times New Roman"/>
                                      </w:rPr>
                                      <w:t xml:space="preserve"> or like our </w:t>
                                    </w:r>
                                    <w:hyperlink r:id="rId10" w:tgtFrame="_blank" w:history="1">
                                      <w:r>
                                        <w:rPr>
                                          <w:rStyle w:val="Hyperlink"/>
                                          <w:rFonts w:eastAsia="Times New Roman"/>
                                          <w:b w:val="0"/>
                                          <w:bCs w:val="0"/>
                                          <w:color w:val="000080"/>
                                        </w:rPr>
                                        <w:t>Facebook</w:t>
                                      </w:r>
                                    </w:hyperlink>
                                    <w:r>
                                      <w:rPr>
                                        <w:rFonts w:eastAsia="Times New Roman"/>
                                      </w:rPr>
                                      <w:t xml:space="preserve"> page.</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7200" w:type="dxa"/>
                                <w:tblCellMar>
                                  <w:left w:w="0" w:type="dxa"/>
                                  <w:right w:w="0" w:type="dxa"/>
                                </w:tblCellMar>
                                <w:tblLook w:val="04A0" w:firstRow="1" w:lastRow="0" w:firstColumn="1" w:lastColumn="0" w:noHBand="0" w:noVBand="1"/>
                              </w:tblPr>
                              <w:tblGrid>
                                <w:gridCol w:w="7200"/>
                              </w:tblGrid>
                              <w:tr w:rsidR="000B37DE">
                                <w:tc>
                                  <w:tcPr>
                                    <w:tcW w:w="0" w:type="auto"/>
                                    <w:tcMar>
                                      <w:top w:w="135" w:type="dxa"/>
                                      <w:left w:w="270" w:type="dxa"/>
                                      <w:bottom w:w="135" w:type="dxa"/>
                                      <w:right w:w="270" w:type="dxa"/>
                                    </w:tcMar>
                                    <w:hideMark/>
                                  </w:tcPr>
                                  <w:p w:rsidR="000B37DE" w:rsidRDefault="000B37DE">
                                    <w:pPr>
                                      <w:pStyle w:val="Heading4"/>
                                      <w:rPr>
                                        <w:rFonts w:eastAsia="Times New Roman"/>
                                      </w:rPr>
                                    </w:pPr>
                                    <w:r>
                                      <w:rPr>
                                        <w:rFonts w:ascii="Arial" w:eastAsia="Times New Roman" w:hAnsi="Arial" w:cs="Arial"/>
                                        <w:color w:val="B22222"/>
                                        <w:sz w:val="21"/>
                                        <w:szCs w:val="21"/>
                                      </w:rPr>
                                      <w:t>News</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New Outreach clinics in HMP Styal and HMP Lewes</w:t>
                                    </w:r>
                                    <w:r>
                                      <w:rPr>
                                        <w:rFonts w:ascii="Helvetica" w:eastAsia="Times New Roman" w:hAnsi="Helvetica" w:cs="Helvetica"/>
                                        <w:color w:val="000000"/>
                                        <w:sz w:val="21"/>
                                        <w:szCs w:val="21"/>
                                      </w:rPr>
                                      <w:br/>
                                      <w:t xml:space="preserve">We opened a new legal advice outreach clinic at HMP Styal in December 2015 and it is scheduled to run every six weeks. We are also introducing our peer adviser-led sessions there, in which prisoners trained by us will be able to give basic advice and information to their fellow prisoners. The planned peer adviser-led clinics have been scheduled and agreed with prison management, and will start soon. This month we will also start a new clinic in HMP Lewes (in East Sussex) - which will further extend our outreach service in men’s prisons.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 xml:space="preserve">PAS participated in seminar organised by Zahid Mubarak </w:t>
                                    </w:r>
                                    <w:proofErr w:type="gramStart"/>
                                    <w:r>
                                      <w:rPr>
                                        <w:rStyle w:val="Strong"/>
                                        <w:rFonts w:ascii="Helvetica" w:eastAsia="Times New Roman" w:hAnsi="Helvetica" w:cs="Helvetica"/>
                                        <w:color w:val="000000"/>
                                        <w:sz w:val="21"/>
                                        <w:szCs w:val="21"/>
                                      </w:rPr>
                                      <w:t>Trust  </w:t>
                                    </w:r>
                                    <w:proofErr w:type="gramEnd"/>
                                    <w:r>
                                      <w:rPr>
                                        <w:rFonts w:ascii="Helvetica" w:eastAsia="Times New Roman" w:hAnsi="Helvetica" w:cs="Helvetica"/>
                                        <w:color w:val="000000"/>
                                        <w:sz w:val="21"/>
                                        <w:szCs w:val="21"/>
                                      </w:rPr>
                                      <w:br/>
                                      <w:t xml:space="preserve">In January 2016 we participated in a seminar at the House of Lords, organised by the Zahid Mubarak Trust (ZMT) and hosted by our patron Lord David </w:t>
                                    </w:r>
                                    <w:proofErr w:type="spellStart"/>
                                    <w:r>
                                      <w:rPr>
                                        <w:rFonts w:ascii="Helvetica" w:eastAsia="Times New Roman" w:hAnsi="Helvetica" w:cs="Helvetica"/>
                                        <w:color w:val="000000"/>
                                        <w:sz w:val="21"/>
                                        <w:szCs w:val="21"/>
                                      </w:rPr>
                                      <w:t>Ramsbotham</w:t>
                                    </w:r>
                                    <w:proofErr w:type="spellEnd"/>
                                    <w:r>
                                      <w:rPr>
                                        <w:rFonts w:ascii="Helvetica" w:eastAsia="Times New Roman" w:hAnsi="Helvetica" w:cs="Helvetica"/>
                                        <w:color w:val="000000"/>
                                        <w:sz w:val="21"/>
                                        <w:szCs w:val="21"/>
                                      </w:rPr>
                                      <w:t xml:space="preserve">. Zahid Mubarak was murdered by his cellmate in Feltham young offenders’ institute in 2000. Subsequent campaigning by his family resulted in the commissioning of a public inquiry into his death. The Commission for Racial Equality also carried out an inquiry into wider issues of institutional racism in the prison system, which reported in 2003 and found systemic failings. The remit of the seminar </w:t>
                                    </w:r>
                                    <w:r>
                                      <w:rPr>
                                        <w:rFonts w:ascii="Helvetica" w:eastAsia="Times New Roman" w:hAnsi="Helvetica" w:cs="Helvetica"/>
                                        <w:color w:val="000000"/>
                                        <w:sz w:val="21"/>
                                        <w:szCs w:val="21"/>
                                      </w:rPr>
                                      <w:lastRenderedPageBreak/>
                                      <w:t xml:space="preserve">on this occasion was to consider what progress, if any, had been made since the 2006 Keith Report of the public inquiry. We have worked with ZMT since it was set up in 2009 and have been involved in a number of initiatives designed to monitor the extent to which prisons have adopted recommendations coming out of the Keith Report. We will continue to do this in the future. However, unfortunately, we had to report to the recent seminar that our current experience is not positive. We reported that our telephone advice line continues to receive a high number of calls from prisoners who have suffered racist treatment and whose complaints have not been properly investigated.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PAS article in Women in Prison (WIP) magazine </w:t>
                                    </w:r>
                                    <w:r>
                                      <w:rPr>
                                        <w:rFonts w:ascii="Helvetica" w:eastAsia="Times New Roman" w:hAnsi="Helvetica" w:cs="Helvetica"/>
                                        <w:color w:val="000000"/>
                                        <w:sz w:val="21"/>
                                        <w:szCs w:val="21"/>
                                      </w:rPr>
                                      <w:br/>
                                      <w:t xml:space="preserve">One of our caseworkers has written an article soon to be published in WIP’s upcoming edition of its magazine. This article explains how PAS can assist women prisoners to obtain supported accommodation on release, particularly women who have physical or mental disabilities or a debilitating illness.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 xml:space="preserve">PAS’ work mentioned in </w:t>
                                    </w:r>
                                    <w:r>
                                      <w:rPr>
                                        <w:rStyle w:val="Emphasis"/>
                                        <w:rFonts w:ascii="Helvetica" w:eastAsia="Times New Roman" w:hAnsi="Helvetica" w:cs="Helvetica"/>
                                        <w:b/>
                                        <w:bCs/>
                                        <w:color w:val="000000"/>
                                        <w:sz w:val="21"/>
                                        <w:szCs w:val="21"/>
                                      </w:rPr>
                                      <w:t>the Guardian</w:t>
                                    </w:r>
                                    <w:r>
                                      <w:rPr>
                                        <w:rStyle w:val="Strong"/>
                                        <w:rFonts w:ascii="Helvetica" w:eastAsia="Times New Roman" w:hAnsi="Helvetica" w:cs="Helvetica"/>
                                        <w:color w:val="000000"/>
                                        <w:sz w:val="21"/>
                                        <w:szCs w:val="21"/>
                                      </w:rPr>
                                      <w:t> </w:t>
                                    </w:r>
                                    <w:r>
                                      <w:rPr>
                                        <w:rFonts w:ascii="Helvetica" w:eastAsia="Times New Roman" w:hAnsi="Helvetica" w:cs="Helvetica"/>
                                        <w:color w:val="000000"/>
                                        <w:sz w:val="21"/>
                                        <w:szCs w:val="21"/>
                                      </w:rPr>
                                      <w:br/>
                                      <w:t xml:space="preserve">Our work was mentioned in an article in </w:t>
                                    </w:r>
                                    <w:r>
                                      <w:rPr>
                                        <w:rStyle w:val="Emphasis"/>
                                        <w:rFonts w:ascii="Helvetica" w:eastAsia="Times New Roman" w:hAnsi="Helvetica" w:cs="Helvetica"/>
                                        <w:color w:val="000000"/>
                                        <w:sz w:val="21"/>
                                        <w:szCs w:val="21"/>
                                      </w:rPr>
                                      <w:t>the Guardian</w:t>
                                    </w:r>
                                    <w:r>
                                      <w:rPr>
                                        <w:rFonts w:ascii="Helvetica" w:eastAsia="Times New Roman" w:hAnsi="Helvetica" w:cs="Helvetica"/>
                                        <w:color w:val="000000"/>
                                        <w:sz w:val="21"/>
                                        <w:szCs w:val="21"/>
                                      </w:rPr>
                                      <w:t xml:space="preserve"> newspaper in January 2016, entitled “How one prisoner’s letter led to a jail reading scheme” for helping a client to obtain release on parole. </w:t>
                                    </w:r>
                                    <w:hyperlink r:id="rId11" w:tgtFrame="_blank" w:history="1">
                                      <w:r>
                                        <w:rPr>
                                          <w:rStyle w:val="Hyperlink"/>
                                          <w:rFonts w:ascii="Helvetica" w:eastAsia="Times New Roman" w:hAnsi="Helvetica" w:cs="Helvetica"/>
                                          <w:color w:val="000080"/>
                                          <w:sz w:val="21"/>
                                          <w:szCs w:val="21"/>
                                        </w:rPr>
                                        <w:t>You can read the full article here</w:t>
                                      </w:r>
                                    </w:hyperlink>
                                    <w:r>
                                      <w:rPr>
                                        <w:rFonts w:ascii="Helvetica" w:eastAsia="Times New Roman" w:hAnsi="Helvetica" w:cs="Helvetica"/>
                                        <w:color w:val="000000"/>
                                        <w:sz w:val="21"/>
                                        <w:szCs w:val="21"/>
                                      </w:rPr>
                                      <w:t xml:space="preserve">.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Top 20% ranking for PAS and 50% matched funding offer </w:t>
                                    </w:r>
                                    <w:r>
                                      <w:rPr>
                                        <w:rFonts w:ascii="Helvetica" w:eastAsia="Times New Roman" w:hAnsi="Helvetica" w:cs="Helvetica"/>
                                        <w:color w:val="000000"/>
                                        <w:sz w:val="21"/>
                                        <w:szCs w:val="21"/>
                                      </w:rPr>
                                      <w:br/>
                                      <w:t>We are pleased to announce that PAS has been ranked in the top 20% of charities listed on the Global Giving online fundraising platform in 2015.</w:t>
                                    </w:r>
                                    <w:r>
                                      <w:rPr>
                                        <w:rFonts w:ascii="Helvetica" w:eastAsia="Times New Roman" w:hAnsi="Helvetica" w:cs="Helvetica"/>
                                        <w:color w:val="000000"/>
                                        <w:sz w:val="21"/>
                                        <w:szCs w:val="21"/>
                                      </w:rPr>
                                      <w:br/>
                                    </w:r>
                                    <w:r>
                                      <w:rPr>
                                        <w:rFonts w:ascii="Helvetica" w:eastAsia="Times New Roman" w:hAnsi="Helvetica" w:cs="Helvetica"/>
                                        <w:noProof/>
                                        <w:color w:val="000080"/>
                                        <w:sz w:val="21"/>
                                        <w:szCs w:val="21"/>
                                      </w:rPr>
                                      <w:lastRenderedPageBreak/>
                                      <w:drawing>
                                        <wp:inline distT="0" distB="0" distL="0" distR="0">
                                          <wp:extent cx="2857500" cy="2575560"/>
                                          <wp:effectExtent l="0" t="0" r="0" b="0"/>
                                          <wp:docPr id="1" name="Picture 1" descr="https://gallery.mailchimp.com/e2fa77ff74ae2b6cdc9fd583b/images/05ac4bfe-e2c4-456d-b68e-ec6c158510e1.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2fa77ff74ae2b6cdc9fd583b/images/05ac4bfe-e2c4-456d-b68e-ec6c158510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575560"/>
                                                  </a:xfrm>
                                                  <a:prstGeom prst="rect">
                                                    <a:avLst/>
                                                  </a:prstGeom>
                                                  <a:noFill/>
                                                  <a:ln>
                                                    <a:noFill/>
                                                  </a:ln>
                                                </pic:spPr>
                                              </pic:pic>
                                            </a:graphicData>
                                          </a:graphic>
                                        </wp:inline>
                                      </w:drawing>
                                    </w:r>
                                    <w:r>
                                      <w:rPr>
                                        <w:rFonts w:ascii="Helvetica" w:eastAsia="Times New Roman" w:hAnsi="Helvetica" w:cs="Helvetica"/>
                                        <w:color w:val="000000"/>
                                        <w:sz w:val="21"/>
                                        <w:szCs w:val="21"/>
                                      </w:rPr>
                                      <w:br/>
                                      <w:t xml:space="preserve">Following on from our successful campaign, we have been offered the opportunity to benefit from a </w:t>
                                    </w:r>
                                    <w:r>
                                      <w:rPr>
                                        <w:rStyle w:val="Strong"/>
                                        <w:rFonts w:ascii="Helvetica" w:eastAsia="Times New Roman" w:hAnsi="Helvetica" w:cs="Helvetica"/>
                                        <w:color w:val="000000"/>
                                        <w:sz w:val="21"/>
                                        <w:szCs w:val="21"/>
                                      </w:rPr>
                                      <w:t>50% matched funding offer</w:t>
                                    </w:r>
                                    <w:r>
                                      <w:rPr>
                                        <w:rFonts w:ascii="Helvetica" w:eastAsia="Times New Roman" w:hAnsi="Helvetica" w:cs="Helvetica"/>
                                        <w:color w:val="000000"/>
                                        <w:sz w:val="21"/>
                                        <w:szCs w:val="21"/>
                                      </w:rPr>
                                      <w:t xml:space="preserve"> from the organisers (Global Giving). They will match any new donation at 50 pence to the pound (up to a maximum of £500 per donation). This offer will </w:t>
                                    </w:r>
                                    <w:r>
                                      <w:rPr>
                                        <w:rStyle w:val="Strong"/>
                                        <w:rFonts w:ascii="Helvetica" w:eastAsia="Times New Roman" w:hAnsi="Helvetica" w:cs="Helvetica"/>
                                        <w:color w:val="000000"/>
                                        <w:sz w:val="21"/>
                                        <w:szCs w:val="21"/>
                                      </w:rPr>
                                      <w:t>begin</w:t>
                                    </w:r>
                                    <w:r>
                                      <w:rPr>
                                        <w:rFonts w:ascii="Helvetica" w:eastAsia="Times New Roman" w:hAnsi="Helvetica" w:cs="Helvetica"/>
                                        <w:color w:val="000000"/>
                                        <w:sz w:val="21"/>
                                        <w:szCs w:val="21"/>
                                      </w:rPr>
                                      <w:t xml:space="preserve"> on </w:t>
                                    </w:r>
                                    <w:r>
                                      <w:rPr>
                                        <w:rStyle w:val="Strong"/>
                                        <w:rFonts w:ascii="Helvetica" w:eastAsia="Times New Roman" w:hAnsi="Helvetica" w:cs="Helvetica"/>
                                        <w:color w:val="000000"/>
                                        <w:sz w:val="21"/>
                                        <w:szCs w:val="21"/>
                                      </w:rPr>
                                      <w:t xml:space="preserve">Monday 7th March 2015 at 2 pm </w:t>
                                    </w:r>
                                    <w:r>
                                      <w:rPr>
                                        <w:rFonts w:ascii="Helvetica" w:eastAsia="Times New Roman" w:hAnsi="Helvetica" w:cs="Helvetica"/>
                                        <w:color w:val="000000"/>
                                        <w:sz w:val="21"/>
                                        <w:szCs w:val="21"/>
                                      </w:rPr>
                                      <w:t xml:space="preserve">GMT and will last until </w:t>
                                    </w:r>
                                    <w:r>
                                      <w:rPr>
                                        <w:rStyle w:val="Strong"/>
                                        <w:rFonts w:ascii="Helvetica" w:eastAsia="Times New Roman" w:hAnsi="Helvetica" w:cs="Helvetica"/>
                                        <w:color w:val="000000"/>
                                        <w:sz w:val="21"/>
                                        <w:szCs w:val="21"/>
                                      </w:rPr>
                                      <w:t>Monday 14th</w:t>
                                    </w:r>
                                    <w:r>
                                      <w:rPr>
                                        <w:rFonts w:ascii="Helvetica" w:eastAsia="Times New Roman" w:hAnsi="Helvetica" w:cs="Helvetica"/>
                                        <w:color w:val="000000"/>
                                        <w:sz w:val="21"/>
                                        <w:szCs w:val="21"/>
                                      </w:rPr>
                                      <w:t xml:space="preserve">, or until the matching funds run out. Please kindly consider making a donation then if you can - because it will be worth 50% more - thanks to the matched funding component (and another 25% more if you Gift Aid it!). If you would like to read more about the project, or to donate, </w:t>
                                    </w:r>
                                    <w:hyperlink r:id="rId14" w:tgtFrame="_blank" w:history="1">
                                      <w:r>
                                        <w:rPr>
                                          <w:rStyle w:val="Hyperlink"/>
                                          <w:rFonts w:ascii="Helvetica" w:eastAsia="Times New Roman" w:hAnsi="Helvetica" w:cs="Helvetica"/>
                                          <w:color w:val="000080"/>
                                          <w:sz w:val="21"/>
                                          <w:szCs w:val="21"/>
                                        </w:rPr>
                                        <w:t>please follow the link here</w:t>
                                      </w:r>
                                    </w:hyperlink>
                                    <w:r>
                                      <w:rPr>
                                        <w:rFonts w:ascii="Helvetica" w:eastAsia="Times New Roman" w:hAnsi="Helvetica" w:cs="Helvetica"/>
                                        <w:color w:val="000000"/>
                                        <w:sz w:val="21"/>
                                        <w:szCs w:val="21"/>
                                      </w:rPr>
                                      <w:t xml:space="preserve">.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Great Legal Bake</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86000" cy="1143000"/>
                                          <wp:effectExtent l="0" t="0" r="0" b="0"/>
                                          <wp:wrapSquare wrapText="bothSides"/>
                                          <wp:docPr id="4" name="Picture 4" descr="https://gallery.mailchimp.com/e2fa77ff74ae2b6cdc9fd583b/images/6f55cc35-fee7-4768-89c0-80d8c9ab5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e2fa77ff74ae2b6cdc9fd583b/images/6f55cc35-fee7-4768-89c0-80d8c9ab5e91.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Helvetica" w:eastAsia="Times New Roman" w:hAnsi="Helvetica" w:cs="Helvetica"/>
                                        <w:color w:val="000000"/>
                                        <w:sz w:val="21"/>
                                        <w:szCs w:val="21"/>
                                      </w:rPr>
                                      <w:t> </w:t>
                                    </w:r>
                                    <w:r>
                                      <w:rPr>
                                        <w:rFonts w:ascii="Helvetica" w:eastAsia="Times New Roman" w:hAnsi="Helvetica" w:cs="Helvetica"/>
                                        <w:color w:val="000000"/>
                                        <w:sz w:val="21"/>
                                        <w:szCs w:val="21"/>
                                      </w:rPr>
                                      <w:br/>
                                      <w:t>We participated in the “Great Legal Bake” in February 2016. Our staff and volunteers baked many cakes and sold them to local solicitors’ firms and barristers’ chambers. We raised £729 through this initiative – which was the highest amount raised among the 180 organisations participating nationwide!   </w:t>
                                    </w:r>
                                    <w:r>
                                      <w:rPr>
                                        <w:rStyle w:val="Strong"/>
                                        <w:rFonts w:ascii="Helvetica" w:eastAsia="Times New Roman" w:hAnsi="Helvetica" w:cs="Helvetica"/>
                                        <w:color w:val="000000"/>
                                        <w:sz w:val="21"/>
                                        <w:szCs w:val="21"/>
                                      </w:rPr>
                                      <w:t>Some of the cakes we baked</w:t>
                                    </w:r>
                                    <w:r>
                                      <w:rPr>
                                        <w:rFonts w:ascii="Helvetica" w:eastAsia="Times New Roman" w:hAnsi="Helvetica" w:cs="Helvetica"/>
                                        <w:color w:val="000000"/>
                                        <w:sz w:val="21"/>
                                        <w:szCs w:val="21"/>
                                      </w:rPr>
                                      <w:t xml:space="preserve">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lastRenderedPageBreak/>
                                      <w:t>PAS volunteer runs Kingston Half Marathon</w:t>
                                    </w:r>
                                    <w:r>
                                      <w:rPr>
                                        <w:rFonts w:ascii="Helvetica" w:eastAsia="Times New Roman" w:hAnsi="Helvetica" w:cs="Helvetica"/>
                                        <w:color w:val="000000"/>
                                        <w:sz w:val="21"/>
                                        <w:szCs w:val="21"/>
                                      </w:rPr>
                                      <w:br/>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86000" cy="1600200"/>
                                          <wp:effectExtent l="0" t="0" r="0" b="0"/>
                                          <wp:wrapSquare wrapText="bothSides"/>
                                          <wp:docPr id="3" name="Picture 3" descr="  This is Catherine (centre) after finishing the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This is Catherine (centre) after finishing the course!"/>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286000" cy="16002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0000"/>
                                        <w:sz w:val="21"/>
                                        <w:szCs w:val="21"/>
                                      </w:rPr>
                                      <w:t xml:space="preserve">One of our dedicated volunteers, Catherine Shannon, ran the Kingston Half Marathon at the end of February (in 1 hour and 52 minutes) to raise funds for our work with prisoners. If you wish to show your support for her efforts and for PAS, </w:t>
                                    </w:r>
                                    <w:hyperlink r:id="rId17" w:tgtFrame="_blank" w:history="1">
                                      <w:r>
                                        <w:rPr>
                                          <w:rStyle w:val="Hyperlink"/>
                                          <w:rFonts w:ascii="Helvetica" w:eastAsia="Times New Roman" w:hAnsi="Helvetica" w:cs="Helvetica"/>
                                          <w:color w:val="000080"/>
                                          <w:sz w:val="21"/>
                                          <w:szCs w:val="21"/>
                                        </w:rPr>
                                        <w:t>you can do so by making a donation here</w:t>
                                      </w:r>
                                    </w:hyperlink>
                                    <w:r>
                                      <w:rPr>
                                        <w:rFonts w:ascii="Helvetica" w:eastAsia="Times New Roman" w:hAnsi="Helvetica" w:cs="Helvetica"/>
                                        <w:color w:val="000000"/>
                                        <w:sz w:val="21"/>
                                        <w:szCs w:val="21"/>
                                      </w:rPr>
                                      <w:t>. </w:t>
                                    </w:r>
                                    <w:r>
                                      <w:rPr>
                                        <w:rFonts w:ascii="Helvetica" w:eastAsia="Times New Roman" w:hAnsi="Helvetica" w:cs="Helvetica"/>
                                        <w:color w:val="000000"/>
                                        <w:sz w:val="21"/>
                                        <w:szCs w:val="21"/>
                                      </w:rPr>
                                      <w:br/>
                                    </w:r>
                                    <w:r>
                                      <w:rPr>
                                        <w:rFonts w:ascii="Helvetica" w:eastAsia="Times New Roman" w:hAnsi="Helvetica" w:cs="Helvetica"/>
                                        <w:color w:val="000000"/>
                                        <w:sz w:val="21"/>
                                        <w:szCs w:val="21"/>
                                      </w:rPr>
                                      <w:br/>
                                      <w:t xml:space="preserve">  </w:t>
                                    </w:r>
                                  </w:p>
                                  <w:p w:rsidR="000B37DE" w:rsidRDefault="000B37DE">
                                    <w:pPr>
                                      <w:spacing w:line="360" w:lineRule="auto"/>
                                      <w:jc w:val="right"/>
                                      <w:rPr>
                                        <w:rFonts w:ascii="Helvetica" w:eastAsia="Times New Roman" w:hAnsi="Helvetica" w:cs="Helvetica"/>
                                        <w:color w:val="000000"/>
                                        <w:sz w:val="21"/>
                                        <w:szCs w:val="21"/>
                                      </w:rPr>
                                    </w:pPr>
                                    <w:r>
                                      <w:rPr>
                                        <w:rFonts w:ascii="Helvetica" w:eastAsia="Times New Roman" w:hAnsi="Helvetica" w:cs="Helvetica"/>
                                        <w:color w:val="000000"/>
                                        <w:sz w:val="21"/>
                                        <w:szCs w:val="21"/>
                                      </w:rPr>
                                      <w:br/>
                                    </w:r>
                                    <w:r>
                                      <w:rPr>
                                        <w:rStyle w:val="Strong"/>
                                        <w:rFonts w:ascii="Helvetica" w:eastAsia="Times New Roman" w:hAnsi="Helvetica" w:cs="Helvetica"/>
                                        <w:color w:val="000000"/>
                                        <w:sz w:val="21"/>
                                        <w:szCs w:val="21"/>
                                      </w:rPr>
                                      <w:t>This is Catherine (centre) after finishing the course!</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tcMar>
                                <w:top w:w="270" w:type="dxa"/>
                                <w:left w:w="270" w:type="dxa"/>
                                <w:bottom w:w="270" w:type="dxa"/>
                                <w:right w:w="270" w:type="dxa"/>
                              </w:tcMar>
                              <w:vAlign w:val="center"/>
                              <w:hideMark/>
                            </w:tcPr>
                            <w:tbl>
                              <w:tblPr>
                                <w:tblW w:w="5000" w:type="pct"/>
                                <w:tblBorders>
                                  <w:top w:val="single" w:sz="36" w:space="0" w:color="999999"/>
                                </w:tblBorders>
                                <w:tblCellMar>
                                  <w:left w:w="0" w:type="dxa"/>
                                  <w:right w:w="0" w:type="dxa"/>
                                </w:tblCellMar>
                                <w:tblLook w:val="04A0" w:firstRow="1" w:lastRow="0" w:firstColumn="1" w:lastColumn="0" w:noHBand="0" w:noVBand="1"/>
                              </w:tblPr>
                              <w:tblGrid>
                                <w:gridCol w:w="6780"/>
                              </w:tblGrid>
                              <w:tr w:rsidR="000B37DE">
                                <w:tc>
                                  <w:tcPr>
                                    <w:tcW w:w="0" w:type="auto"/>
                                    <w:tcBorders>
                                      <w:top w:val="single" w:sz="36" w:space="0" w:color="999999"/>
                                      <w:left w:val="nil"/>
                                      <w:bottom w:val="nil"/>
                                      <w:right w:val="nil"/>
                                    </w:tcBorders>
                                    <w:vAlign w:val="center"/>
                                    <w:hideMark/>
                                  </w:tcPr>
                                  <w:p w:rsidR="000B37DE" w:rsidRDefault="000B37DE">
                                    <w:pPr>
                                      <w:rPr>
                                        <w:rFonts w:eastAsia="Times New Roman"/>
                                        <w:sz w:val="20"/>
                                        <w:szCs w:val="20"/>
                                      </w:rPr>
                                    </w:pP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7200" w:type="dxa"/>
                                <w:tblCellMar>
                                  <w:left w:w="0" w:type="dxa"/>
                                  <w:right w:w="0" w:type="dxa"/>
                                </w:tblCellMar>
                                <w:tblLook w:val="04A0" w:firstRow="1" w:lastRow="0" w:firstColumn="1" w:lastColumn="0" w:noHBand="0" w:noVBand="1"/>
                              </w:tblPr>
                              <w:tblGrid>
                                <w:gridCol w:w="7200"/>
                              </w:tblGrid>
                              <w:tr w:rsidR="000B37DE">
                                <w:tc>
                                  <w:tcPr>
                                    <w:tcW w:w="0" w:type="auto"/>
                                    <w:tcMar>
                                      <w:top w:w="135" w:type="dxa"/>
                                      <w:left w:w="270" w:type="dxa"/>
                                      <w:bottom w:w="135" w:type="dxa"/>
                                      <w:right w:w="270" w:type="dxa"/>
                                    </w:tcMar>
                                    <w:hideMark/>
                                  </w:tcPr>
                                  <w:p w:rsidR="000B37DE" w:rsidRDefault="000B37DE">
                                    <w:pPr>
                                      <w:pStyle w:val="Heading4"/>
                                      <w:rPr>
                                        <w:rFonts w:eastAsia="Times New Roman"/>
                                      </w:rPr>
                                    </w:pPr>
                                    <w:r>
                                      <w:rPr>
                                        <w:rFonts w:ascii="Arial" w:eastAsia="Times New Roman" w:hAnsi="Arial" w:cs="Arial"/>
                                        <w:color w:val="B22222"/>
                                        <w:sz w:val="21"/>
                                        <w:szCs w:val="21"/>
                                      </w:rPr>
                                      <w:t>Recent success stories</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Assisting a released prisoner to execute his father’s will:</w:t>
                                    </w:r>
                                    <w:r>
                                      <w:rPr>
                                        <w:rFonts w:ascii="Helvetica" w:eastAsia="Times New Roman" w:hAnsi="Helvetica" w:cs="Helvetica"/>
                                        <w:color w:val="000000"/>
                                        <w:sz w:val="21"/>
                                        <w:szCs w:val="21"/>
                                      </w:rPr>
                                      <w:br/>
                                      <w:t xml:space="preserve">We recently assisted a released prisoner who had made repeated requests, without success, for his probation officer to give him permission to travel abroad to execute his father’s will and scatter his ashes in his country of origin. As the sole surviving executor of the will, the prisoner had a legal responsibility to the estate and the beneficiaries of the will. He could not execute this responsibility without travelling to his father’s country of origin. We wrote to the probation service setting out how the prisoner’s individual circumstances met the criteria to be allowed to travel abroad temporarily without interfering with the management of his risk in the community. The probation service agreed and gave permission for him to travel abroad for the purpose of executing the will. He has now done this and returned to Britain, and thanked us for our intervention which made this possible.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lastRenderedPageBreak/>
                                      <w:t>Ensuring improved facilities for a disabled prisoner</w:t>
                                    </w:r>
                                    <w:proofErr w:type="gramStart"/>
                                    <w:r>
                                      <w:rPr>
                                        <w:rStyle w:val="Strong"/>
                                        <w:rFonts w:ascii="Helvetica" w:eastAsia="Times New Roman" w:hAnsi="Helvetica" w:cs="Helvetica"/>
                                        <w:color w:val="000000"/>
                                        <w:sz w:val="21"/>
                                        <w:szCs w:val="21"/>
                                      </w:rPr>
                                      <w:t>:</w:t>
                                    </w:r>
                                    <w:proofErr w:type="gramEnd"/>
                                    <w:r>
                                      <w:rPr>
                                        <w:rFonts w:ascii="Helvetica" w:eastAsia="Times New Roman" w:hAnsi="Helvetica" w:cs="Helvetica"/>
                                        <w:color w:val="000000"/>
                                        <w:sz w:val="21"/>
                                        <w:szCs w:val="21"/>
                                      </w:rPr>
                                      <w:br/>
                                      <w:t xml:space="preserve">A disabled prisoner had been transferred to a prison that did not have modified cells, in-cell sinks, or single showers available. The prisoner is doubly incontinent. At his previous prisons, where the facilities were better, he had been able to clean himself up in his cell and officers would unlock him to go to take a shower. In his new prison, all the showers were communal, and officers would not unlock him to allow him out of his cell to wash. He remained at this prison, enduring these conditions, for one month until he contacted us. We made representations to the Governor and Head of Healthcare at the prison that such conditions risked breaching Article 3 of the European Convention on Human Rights which concerns ‘inhuman and degrading treatment’. After our intervention, the prisoner was promptly transferred to a suitable prison that can meet his disability needs.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Representing a Woman Prisoner with Mental Health Difficulties at a Parole Board hearing</w:t>
                                    </w:r>
                                    <w:proofErr w:type="gramStart"/>
                                    <w:r>
                                      <w:rPr>
                                        <w:rStyle w:val="Strong"/>
                                        <w:rFonts w:ascii="Helvetica" w:eastAsia="Times New Roman" w:hAnsi="Helvetica" w:cs="Helvetica"/>
                                        <w:color w:val="000000"/>
                                        <w:sz w:val="21"/>
                                        <w:szCs w:val="21"/>
                                      </w:rPr>
                                      <w:t>:</w:t>
                                    </w:r>
                                    <w:proofErr w:type="gramEnd"/>
                                    <w:r>
                                      <w:rPr>
                                        <w:rFonts w:ascii="Helvetica" w:eastAsia="Times New Roman" w:hAnsi="Helvetica" w:cs="Helvetica"/>
                                        <w:color w:val="000000"/>
                                        <w:sz w:val="21"/>
                                        <w:szCs w:val="21"/>
                                      </w:rPr>
                                      <w:br/>
                                      <w:t xml:space="preserve">We represented a woman serving a life sentence, who had been in prison for 12 years beyond her tariff (minimum custodial period) and who was applying to the Parole Board to be transferred to an open prison. She had a history of suffering from severe anxiety prior to Parole Board hearings but had worked very hard at addressing her mental health difficulties over the last two years. By attending one-to-one psychology appointments on a regular basis, she had become better able to manage her stress levels. Due to the relationship we had established with her, we were also able to provide her with support and reassurance throughout the process, particularly leading up to the hearing. We represented her at the hearing and assisted her to satisfy the panel that she could be safely managed in an open setting. As a result, she has now been transferred to an open prison.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270" w:type="dxa"/>
                                      <w:bottom w:w="135" w:type="dxa"/>
                                      <w:right w:w="270" w:type="dxa"/>
                                    </w:tcMar>
                                    <w:hideMark/>
                                  </w:tcPr>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Advice on new Extended Determinate Sentence: </w:t>
                                    </w:r>
                                    <w:r>
                                      <w:rPr>
                                        <w:rFonts w:ascii="Helvetica" w:eastAsia="Times New Roman" w:hAnsi="Helvetica" w:cs="Helvetica"/>
                                        <w:color w:val="000000"/>
                                        <w:sz w:val="21"/>
                                        <w:szCs w:val="21"/>
                                      </w:rPr>
                                      <w:br/>
                                      <w:t xml:space="preserve">During a recent PAS peer adviser training session in a prison in West Yorkshire, one of the attendees asked about the effect of Extended Determinate Sentences (EDS) on </w:t>
                                    </w:r>
                                    <w:proofErr w:type="spellStart"/>
                                    <w:r>
                                      <w:rPr>
                                        <w:rFonts w:ascii="Helvetica" w:eastAsia="Times New Roman" w:hAnsi="Helvetica" w:cs="Helvetica"/>
                                        <w:color w:val="000000"/>
                                        <w:sz w:val="21"/>
                                        <w:szCs w:val="21"/>
                                      </w:rPr>
                                      <w:t>recategorisation</w:t>
                                    </w:r>
                                    <w:proofErr w:type="spellEnd"/>
                                    <w:r>
                                      <w:rPr>
                                        <w:rFonts w:ascii="Helvetica" w:eastAsia="Times New Roman" w:hAnsi="Helvetica" w:cs="Helvetica"/>
                                        <w:color w:val="000000"/>
                                        <w:sz w:val="21"/>
                                        <w:szCs w:val="21"/>
                                      </w:rPr>
                                      <w:t xml:space="preserve"> to Category D (lower </w:t>
                                    </w:r>
                                    <w:r>
                                      <w:rPr>
                                        <w:rFonts w:ascii="Helvetica" w:eastAsia="Times New Roman" w:hAnsi="Helvetica" w:cs="Helvetica"/>
                                        <w:color w:val="000000"/>
                                        <w:sz w:val="21"/>
                                        <w:szCs w:val="21"/>
                                      </w:rPr>
                                      <w:lastRenderedPageBreak/>
                                      <w:t xml:space="preserve">security classification). This is a relatively new type of sentence, so its implications for </w:t>
                                    </w:r>
                                    <w:proofErr w:type="spellStart"/>
                                    <w:r>
                                      <w:rPr>
                                        <w:rFonts w:ascii="Helvetica" w:eastAsia="Times New Roman" w:hAnsi="Helvetica" w:cs="Helvetica"/>
                                        <w:color w:val="000000"/>
                                        <w:sz w:val="21"/>
                                        <w:szCs w:val="21"/>
                                      </w:rPr>
                                      <w:t>recategorisation</w:t>
                                    </w:r>
                                    <w:proofErr w:type="spellEnd"/>
                                    <w:r>
                                      <w:rPr>
                                        <w:rFonts w:ascii="Helvetica" w:eastAsia="Times New Roman" w:hAnsi="Helvetica" w:cs="Helvetica"/>
                                        <w:color w:val="000000"/>
                                        <w:sz w:val="21"/>
                                        <w:szCs w:val="21"/>
                                      </w:rPr>
                                      <w:t xml:space="preserve"> are not yet widely known. As we had recently received a similar enquiry through our telephone advice line, we were able to pass relevant information to the peer adviser. This enabled him to liaise and mediate with the Offender Management Unit in the prison on behalf of a fellow prisoner sentenced to an EDS. The outcome was positive and the prisoner was </w:t>
                                    </w:r>
                                    <w:proofErr w:type="spellStart"/>
                                    <w:r>
                                      <w:rPr>
                                        <w:rFonts w:ascii="Helvetica" w:eastAsia="Times New Roman" w:hAnsi="Helvetica" w:cs="Helvetica"/>
                                        <w:color w:val="000000"/>
                                        <w:sz w:val="21"/>
                                        <w:szCs w:val="21"/>
                                      </w:rPr>
                                      <w:t>recategorised</w:t>
                                    </w:r>
                                    <w:proofErr w:type="spellEnd"/>
                                    <w:r>
                                      <w:rPr>
                                        <w:rFonts w:ascii="Helvetica" w:eastAsia="Times New Roman" w:hAnsi="Helvetica" w:cs="Helvetica"/>
                                        <w:color w:val="000000"/>
                                        <w:sz w:val="21"/>
                                        <w:szCs w:val="21"/>
                                      </w:rPr>
                                      <w:t xml:space="preserve"> as Category D without delay and was therefore able to progress promptly to the final stage of his sentence.  </w:t>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050"/>
                              </w:tblGrid>
                              <w:tr w:rsidR="000B37DE">
                                <w:tc>
                                  <w:tcPr>
                                    <w:tcW w:w="0" w:type="auto"/>
                                    <w:tcMar>
                                      <w:top w:w="0" w:type="dxa"/>
                                      <w:left w:w="135" w:type="dxa"/>
                                      <w:bottom w:w="0" w:type="dxa"/>
                                      <w:right w:w="135" w:type="dxa"/>
                                    </w:tcMar>
                                    <w:hideMark/>
                                  </w:tcPr>
                                  <w:p w:rsidR="000B37DE" w:rsidRDefault="000B37DE">
                                    <w:pPr>
                                      <w:rPr>
                                        <w:rFonts w:eastAsia="Times New Roman"/>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97680" cy="570865"/>
                                          <wp:effectExtent l="0" t="0" r="7620" b="635"/>
                                          <wp:wrapSquare wrapText="bothSides"/>
                                          <wp:docPr id="2" name="Picture 2" descr="https://gallery.mailchimp.com/e2fa77ff74ae2b6cdc9fd583b/images/376b24cc-1e1b-4563-8ed8-b4cd85337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e2fa77ff74ae2b6cdc9fd583b/images/376b24cc-1e1b-4563-8ed8-b4cd853373f7.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297680" cy="570865"/>
                                                  </a:xfrm>
                                                  <a:prstGeom prst="rect">
                                                    <a:avLst/>
                                                  </a:prstGeom>
                                                  <a:noFill/>
                                                </pic:spPr>
                                              </pic:pic>
                                            </a:graphicData>
                                          </a:graphic>
                                          <wp14:sizeRelH relativeFrom="page">
                                            <wp14:pctWidth>0</wp14:pctWidth>
                                          </wp14:sizeRelH>
                                          <wp14:sizeRelV relativeFrom="page">
                                            <wp14:pctHeight>0</wp14:pctHeight>
                                          </wp14:sizeRelV>
                                        </wp:anchor>
                                      </w:drawing>
                                    </w:r>
                                  </w:p>
                                </w:tc>
                              </w:tr>
                            </w:tbl>
                            <w:p w:rsidR="000B37DE" w:rsidRDefault="000B37DE">
                              <w:pPr>
                                <w:rPr>
                                  <w:rFonts w:eastAsia="Times New Roman"/>
                                  <w:sz w:val="20"/>
                                  <w:szCs w:val="20"/>
                                </w:rPr>
                              </w:pPr>
                            </w:p>
                          </w:tc>
                        </w:tr>
                      </w:tbl>
                      <w:p w:rsidR="000B37DE" w:rsidRDefault="000B37DE">
                        <w:pPr>
                          <w:rPr>
                            <w:rFonts w:eastAsia="Times New Roman"/>
                          </w:rPr>
                        </w:pPr>
                      </w:p>
                      <w:tbl>
                        <w:tblPr>
                          <w:tblW w:w="5000" w:type="pct"/>
                          <w:tblCellMar>
                            <w:left w:w="0" w:type="dxa"/>
                            <w:right w:w="0" w:type="dxa"/>
                          </w:tblCellMar>
                          <w:tblLook w:val="04A0" w:firstRow="1" w:lastRow="0" w:firstColumn="1" w:lastColumn="0" w:noHBand="0" w:noVBand="1"/>
                        </w:tblPr>
                        <w:tblGrid>
                          <w:gridCol w:w="7320"/>
                        </w:tblGrid>
                        <w:tr w:rsidR="000B37DE">
                          <w:tc>
                            <w:tcPr>
                              <w:tcW w:w="0" w:type="auto"/>
                              <w:hideMark/>
                            </w:tcPr>
                            <w:tbl>
                              <w:tblPr>
                                <w:tblpPr w:leftFromText="36" w:rightFromText="36" w:vertAnchor="text"/>
                                <w:tblW w:w="7200" w:type="dxa"/>
                                <w:tblCellMar>
                                  <w:left w:w="0" w:type="dxa"/>
                                  <w:right w:w="0" w:type="dxa"/>
                                </w:tblCellMar>
                                <w:tblLook w:val="04A0" w:firstRow="1" w:lastRow="0" w:firstColumn="1" w:lastColumn="0" w:noHBand="0" w:noVBand="1"/>
                              </w:tblPr>
                              <w:tblGrid>
                                <w:gridCol w:w="7200"/>
                              </w:tblGrid>
                              <w:tr w:rsidR="000B37DE">
                                <w:tc>
                                  <w:tcPr>
                                    <w:tcW w:w="0" w:type="auto"/>
                                    <w:tcMar>
                                      <w:top w:w="135" w:type="dxa"/>
                                      <w:left w:w="270" w:type="dxa"/>
                                      <w:bottom w:w="135" w:type="dxa"/>
                                      <w:right w:w="270" w:type="dxa"/>
                                    </w:tcMar>
                                    <w:hideMark/>
                                  </w:tcPr>
                                  <w:p w:rsidR="000B37DE" w:rsidRDefault="000B37DE">
                                    <w:pPr>
                                      <w:pStyle w:val="Heading4"/>
                                      <w:rPr>
                                        <w:rFonts w:eastAsia="Times New Roman"/>
                                      </w:rPr>
                                    </w:pPr>
                                    <w:r>
                                      <w:rPr>
                                        <w:rFonts w:eastAsia="Times New Roman"/>
                                      </w:rPr>
                                      <w:br/>
                                      <w:t>Contact PAS:</w:t>
                                    </w:r>
                                  </w:p>
                                  <w:p w:rsidR="000B37DE" w:rsidRDefault="000B37DE">
                                    <w:pPr>
                                      <w:spacing w:line="360" w:lineRule="auto"/>
                                      <w:rPr>
                                        <w:rFonts w:ascii="Helvetica" w:eastAsia="Times New Roman" w:hAnsi="Helvetica" w:cs="Helvetica"/>
                                        <w:color w:val="000000"/>
                                        <w:sz w:val="21"/>
                                        <w:szCs w:val="21"/>
                                      </w:rPr>
                                    </w:pPr>
                                    <w:r>
                                      <w:rPr>
                                        <w:rStyle w:val="Strong"/>
                                        <w:rFonts w:ascii="Helvetica" w:eastAsia="Times New Roman" w:hAnsi="Helvetica" w:cs="Helvetica"/>
                                        <w:color w:val="330033"/>
                                        <w:sz w:val="21"/>
                                        <w:szCs w:val="21"/>
                                      </w:rPr>
                                      <w:t>PAS</w:t>
                                    </w:r>
                                    <w:r>
                                      <w:rPr>
                                        <w:rFonts w:ascii="Helvetica" w:eastAsia="Times New Roman" w:hAnsi="Helvetica" w:cs="Helvetica"/>
                                        <w:b/>
                                        <w:bCs/>
                                        <w:color w:val="330033"/>
                                        <w:sz w:val="21"/>
                                        <w:szCs w:val="21"/>
                                      </w:rPr>
                                      <w:br/>
                                    </w:r>
                                    <w:r>
                                      <w:rPr>
                                        <w:rStyle w:val="Strong"/>
                                        <w:rFonts w:ascii="Helvetica" w:eastAsia="Times New Roman" w:hAnsi="Helvetica" w:cs="Helvetica"/>
                                        <w:color w:val="330033"/>
                                        <w:sz w:val="21"/>
                                        <w:szCs w:val="21"/>
                                      </w:rPr>
                                      <w:t>PO Box 46199</w:t>
                                    </w:r>
                                    <w:r>
                                      <w:rPr>
                                        <w:rFonts w:ascii="Helvetica" w:eastAsia="Times New Roman" w:hAnsi="Helvetica" w:cs="Helvetica"/>
                                        <w:b/>
                                        <w:bCs/>
                                        <w:color w:val="330033"/>
                                        <w:sz w:val="21"/>
                                        <w:szCs w:val="21"/>
                                      </w:rPr>
                                      <w:br/>
                                    </w:r>
                                    <w:r>
                                      <w:rPr>
                                        <w:rStyle w:val="Strong"/>
                                        <w:rFonts w:ascii="Helvetica" w:eastAsia="Times New Roman" w:hAnsi="Helvetica" w:cs="Helvetica"/>
                                        <w:color w:val="330033"/>
                                        <w:sz w:val="21"/>
                                        <w:szCs w:val="21"/>
                                      </w:rPr>
                                      <w:t>London                                                                </w:t>
                                    </w:r>
                                    <w:r>
                                      <w:rPr>
                                        <w:rFonts w:ascii="Helvetica" w:eastAsia="Times New Roman" w:hAnsi="Helvetica" w:cs="Helvetica"/>
                                        <w:b/>
                                        <w:bCs/>
                                        <w:color w:val="330033"/>
                                        <w:sz w:val="21"/>
                                        <w:szCs w:val="21"/>
                                      </w:rPr>
                                      <w:br/>
                                    </w:r>
                                    <w:r>
                                      <w:rPr>
                                        <w:rStyle w:val="Strong"/>
                                        <w:rFonts w:ascii="Helvetica" w:eastAsia="Times New Roman" w:hAnsi="Helvetica" w:cs="Helvetica"/>
                                        <w:color w:val="330033"/>
                                        <w:sz w:val="21"/>
                                        <w:szCs w:val="21"/>
                                      </w:rPr>
                                      <w:t xml:space="preserve">EC1M 4XA     </w:t>
                                    </w:r>
                                    <w:r>
                                      <w:rPr>
                                        <w:rStyle w:val="Strong"/>
                                        <w:rFonts w:ascii="Helvetica" w:eastAsia="Times New Roman" w:hAnsi="Helvetica" w:cs="Helvetica"/>
                                        <w:color w:val="000000"/>
                                        <w:sz w:val="21"/>
                                        <w:szCs w:val="21"/>
                                      </w:rPr>
                                      <w:t>                                                          </w:t>
                                    </w:r>
                                    <w:r>
                                      <w:rPr>
                                        <w:rFonts w:ascii="Helvetica" w:eastAsia="Times New Roman" w:hAnsi="Helvetica" w:cs="Helvetica"/>
                                        <w:b/>
                                        <w:bCs/>
                                        <w:color w:val="000000"/>
                                        <w:sz w:val="21"/>
                                        <w:szCs w:val="21"/>
                                      </w:rPr>
                                      <w:br/>
                                    </w:r>
                                    <w:r>
                                      <w:rPr>
                                        <w:rStyle w:val="Strong"/>
                                        <w:rFonts w:ascii="Helvetica" w:eastAsia="Times New Roman" w:hAnsi="Helvetica" w:cs="Helvetica"/>
                                        <w:color w:val="000000"/>
                                        <w:sz w:val="21"/>
                                        <w:szCs w:val="21"/>
                                      </w:rPr>
                                      <w:t xml:space="preserve">Tel: 020 7253 3323 / Tel: 0845 430 </w:t>
                                    </w:r>
                                    <w:proofErr w:type="gramStart"/>
                                    <w:r>
                                      <w:rPr>
                                        <w:rStyle w:val="Strong"/>
                                        <w:rFonts w:ascii="Helvetica" w:eastAsia="Times New Roman" w:hAnsi="Helvetica" w:cs="Helvetica"/>
                                        <w:color w:val="000000"/>
                                        <w:sz w:val="21"/>
                                        <w:szCs w:val="21"/>
                                      </w:rPr>
                                      <w:t>8923  Fax</w:t>
                                    </w:r>
                                    <w:proofErr w:type="gramEnd"/>
                                    <w:r>
                                      <w:rPr>
                                        <w:rStyle w:val="Strong"/>
                                        <w:rFonts w:ascii="Helvetica" w:eastAsia="Times New Roman" w:hAnsi="Helvetica" w:cs="Helvetica"/>
                                        <w:color w:val="000000"/>
                                        <w:sz w:val="21"/>
                                        <w:szCs w:val="21"/>
                                      </w:rPr>
                                      <w:t>: 020 7253 8067</w:t>
                                    </w:r>
                                    <w:r>
                                      <w:rPr>
                                        <w:rFonts w:ascii="Helvetica" w:eastAsia="Times New Roman" w:hAnsi="Helvetica" w:cs="Helvetica"/>
                                        <w:color w:val="000000"/>
                                        <w:sz w:val="21"/>
                                        <w:szCs w:val="21"/>
                                      </w:rPr>
                                      <w:br/>
                                    </w:r>
                                    <w:r>
                                      <w:rPr>
                                        <w:rFonts w:ascii="Helvetica" w:eastAsia="Times New Roman" w:hAnsi="Helvetica" w:cs="Helvetica"/>
                                        <w:color w:val="000000"/>
                                        <w:sz w:val="21"/>
                                        <w:szCs w:val="21"/>
                                      </w:rPr>
                                      <w:br/>
                                    </w:r>
                                    <w:r>
                                      <w:rPr>
                                        <w:rFonts w:ascii="Arial" w:eastAsia="Times New Roman" w:hAnsi="Arial" w:cs="Arial"/>
                                        <w:color w:val="000000"/>
                                        <w:sz w:val="18"/>
                                        <w:szCs w:val="18"/>
                                      </w:rPr>
                                      <w:t>Copyright © Prisoners' Advice Service 2015, all rights reserved.</w:t>
                                    </w:r>
                                    <w:r>
                                      <w:rPr>
                                        <w:rFonts w:ascii="Helvetica" w:eastAsia="Times New Roman" w:hAnsi="Helvetica" w:cs="Helvetica"/>
                                        <w:color w:val="000000"/>
                                        <w:sz w:val="21"/>
                                        <w:szCs w:val="21"/>
                                      </w:rPr>
                                      <w:br/>
                                    </w:r>
                                    <w:r>
                                      <w:rPr>
                                        <w:rFonts w:ascii="Arial" w:eastAsia="Times New Roman" w:hAnsi="Arial" w:cs="Arial"/>
                                        <w:color w:val="000000"/>
                                        <w:sz w:val="18"/>
                                        <w:szCs w:val="18"/>
                                      </w:rPr>
                                      <w:t>To unsubscribe from this newsletter, please email </w:t>
                                    </w:r>
                                    <w:hyperlink r:id="rId19" w:tgtFrame="_blank" w:history="1">
                                      <w:r>
                                        <w:rPr>
                                          <w:rStyle w:val="Hyperlink"/>
                                          <w:rFonts w:ascii="Arial" w:eastAsia="Times New Roman" w:hAnsi="Arial" w:cs="Arial"/>
                                          <w:color w:val="000080"/>
                                          <w:sz w:val="18"/>
                                          <w:szCs w:val="18"/>
                                        </w:rPr>
                                        <w:t>admin@prisonersadvice.org.uk</w:t>
                                      </w:r>
                                    </w:hyperlink>
                                    <w:r>
                                      <w:rPr>
                                        <w:rFonts w:ascii="Arial" w:eastAsia="Times New Roman" w:hAnsi="Arial" w:cs="Arial"/>
                                        <w:color w:val="000000"/>
                                        <w:sz w:val="18"/>
                                        <w:szCs w:val="18"/>
                                      </w:rPr>
                                      <w:t>.</w:t>
                                    </w:r>
                                    <w:r>
                                      <w:rPr>
                                        <w:rFonts w:ascii="Helvetica" w:eastAsia="Times New Roman" w:hAnsi="Helvetica" w:cs="Helvetica"/>
                                        <w:color w:val="000000"/>
                                        <w:sz w:val="21"/>
                                        <w:szCs w:val="21"/>
                                      </w:rPr>
                                      <w:t xml:space="preserve"> </w:t>
                                    </w:r>
                                  </w:p>
                                </w:tc>
                              </w:tr>
                            </w:tbl>
                            <w:p w:rsidR="000B37DE" w:rsidRDefault="000B37DE">
                              <w:pPr>
                                <w:rPr>
                                  <w:rFonts w:eastAsia="Times New Roman"/>
                                  <w:sz w:val="20"/>
                                  <w:szCs w:val="20"/>
                                </w:rPr>
                              </w:pPr>
                            </w:p>
                          </w:tc>
                        </w:tr>
                      </w:tbl>
                      <w:p w:rsidR="000B37DE" w:rsidRDefault="000B37DE">
                        <w:pPr>
                          <w:rPr>
                            <w:rFonts w:eastAsia="Times New Roman"/>
                            <w:sz w:val="20"/>
                            <w:szCs w:val="20"/>
                          </w:rPr>
                        </w:pPr>
                      </w:p>
                    </w:tc>
                  </w:tr>
                </w:tbl>
                <w:p w:rsidR="000B37DE" w:rsidRDefault="000B37DE">
                  <w:pPr>
                    <w:jc w:val="center"/>
                    <w:rPr>
                      <w:rFonts w:eastAsia="Times New Roman"/>
                      <w:sz w:val="20"/>
                      <w:szCs w:val="20"/>
                    </w:rPr>
                  </w:pPr>
                </w:p>
              </w:tc>
            </w:tr>
            <w:tr w:rsidR="000B37DE">
              <w:trPr>
                <w:jc w:val="center"/>
              </w:trPr>
              <w:tc>
                <w:tcPr>
                  <w:tcW w:w="0" w:type="auto"/>
                  <w:tcBorders>
                    <w:top w:val="nil"/>
                    <w:left w:val="single" w:sz="36" w:space="0" w:color="800000"/>
                    <w:bottom w:val="single" w:sz="36" w:space="0" w:color="800000"/>
                    <w:right w:val="single" w:sz="36" w:space="0" w:color="800000"/>
                  </w:tcBorders>
                  <w:hideMark/>
                </w:tcPr>
                <w:tbl>
                  <w:tblPr>
                    <w:tblW w:w="7200" w:type="dxa"/>
                    <w:jc w:val="center"/>
                    <w:shd w:val="clear" w:color="auto" w:fill="FFFFFF"/>
                    <w:tblCellMar>
                      <w:left w:w="0" w:type="dxa"/>
                      <w:right w:w="0" w:type="dxa"/>
                    </w:tblCellMar>
                    <w:tblLook w:val="04A0" w:firstRow="1" w:lastRow="0" w:firstColumn="1" w:lastColumn="0" w:noHBand="0" w:noVBand="1"/>
                  </w:tblPr>
                  <w:tblGrid>
                    <w:gridCol w:w="7200"/>
                  </w:tblGrid>
                  <w:tr w:rsidR="000B37DE">
                    <w:trPr>
                      <w:jc w:val="center"/>
                    </w:trPr>
                    <w:tc>
                      <w:tcPr>
                        <w:tcW w:w="0" w:type="auto"/>
                        <w:shd w:val="clear" w:color="auto" w:fill="FFFFFF"/>
                        <w:tcMar>
                          <w:top w:w="0" w:type="dxa"/>
                          <w:left w:w="0" w:type="dxa"/>
                          <w:bottom w:w="135" w:type="dxa"/>
                          <w:right w:w="0" w:type="dxa"/>
                        </w:tcMar>
                        <w:hideMark/>
                      </w:tcPr>
                      <w:p w:rsidR="000B37DE" w:rsidRDefault="000B37DE">
                        <w:pPr>
                          <w:rPr>
                            <w:rFonts w:eastAsia="Times New Roman"/>
                            <w:sz w:val="20"/>
                            <w:szCs w:val="20"/>
                          </w:rPr>
                        </w:pPr>
                      </w:p>
                    </w:tc>
                  </w:tr>
                </w:tbl>
                <w:p w:rsidR="000B37DE" w:rsidRDefault="000B37DE">
                  <w:pPr>
                    <w:jc w:val="center"/>
                    <w:rPr>
                      <w:rFonts w:eastAsia="Times New Roman"/>
                      <w:sz w:val="20"/>
                      <w:szCs w:val="20"/>
                    </w:rPr>
                  </w:pPr>
                </w:p>
              </w:tc>
            </w:tr>
          </w:tbl>
          <w:p w:rsidR="000B37DE" w:rsidRDefault="000B37DE">
            <w:pPr>
              <w:jc w:val="center"/>
              <w:rPr>
                <w:rFonts w:eastAsia="Times New Roman"/>
                <w:sz w:val="20"/>
                <w:szCs w:val="20"/>
              </w:rPr>
            </w:pPr>
          </w:p>
        </w:tc>
      </w:tr>
    </w:tbl>
    <w:p w:rsidR="006905A6" w:rsidRDefault="000B37DE">
      <w:r>
        <w:rPr>
          <w:rFonts w:eastAsia="Times New Roman"/>
        </w:rPr>
        <w:lastRenderedPageBreak/>
        <w:br/>
      </w:r>
      <w:r>
        <w:rPr>
          <w:rFonts w:eastAsia="Times New Roman"/>
        </w:rPr>
        <w:br/>
      </w:r>
      <w:r>
        <w:rPr>
          <w:rFonts w:eastAsia="Times New Roman"/>
        </w:rPr>
        <w:br/>
      </w:r>
      <w:r>
        <w:rPr>
          <w:rFonts w:eastAsia="Times New Roman"/>
        </w:rPr>
        <w:br/>
      </w:r>
      <w:bookmarkStart w:id="0" w:name="_GoBack"/>
      <w:bookmarkEnd w:id="0"/>
    </w:p>
    <w:sectPr w:rsidR="00690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DE"/>
    <w:rsid w:val="000B37DE"/>
    <w:rsid w:val="006905A6"/>
    <w:rsid w:val="00D12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DE"/>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unhideWhenUsed/>
    <w:qFormat/>
    <w:rsid w:val="000B37DE"/>
    <w:pPr>
      <w:spacing w:line="300" w:lineRule="auto"/>
      <w:outlineLvl w:val="2"/>
    </w:pPr>
    <w:rPr>
      <w:rFonts w:ascii="Helvetica" w:hAnsi="Helvetica" w:cs="Helvetica"/>
      <w:b/>
      <w:bCs/>
      <w:color w:val="000000"/>
      <w:spacing w:val="-8"/>
      <w:sz w:val="27"/>
      <w:szCs w:val="27"/>
    </w:rPr>
  </w:style>
  <w:style w:type="paragraph" w:styleId="Heading4">
    <w:name w:val="heading 4"/>
    <w:basedOn w:val="Normal"/>
    <w:link w:val="Heading4Char"/>
    <w:uiPriority w:val="9"/>
    <w:unhideWhenUsed/>
    <w:qFormat/>
    <w:rsid w:val="000B37DE"/>
    <w:pPr>
      <w:spacing w:line="300" w:lineRule="auto"/>
      <w:outlineLvl w:val="3"/>
    </w:pPr>
    <w:rPr>
      <w:rFonts w:ascii="Helvetica" w:hAnsi="Helvetica" w:cs="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37DE"/>
    <w:rPr>
      <w:rFonts w:ascii="Helvetica" w:hAnsi="Helvetica" w:cs="Helvetica"/>
      <w:b/>
      <w:bCs/>
      <w:color w:val="000000"/>
      <w:spacing w:val="-8"/>
      <w:sz w:val="27"/>
      <w:szCs w:val="27"/>
      <w:lang w:eastAsia="en-GB"/>
    </w:rPr>
  </w:style>
  <w:style w:type="character" w:customStyle="1" w:styleId="Heading4Char">
    <w:name w:val="Heading 4 Char"/>
    <w:basedOn w:val="DefaultParagraphFont"/>
    <w:link w:val="Heading4"/>
    <w:uiPriority w:val="9"/>
    <w:rsid w:val="000B37DE"/>
    <w:rPr>
      <w:rFonts w:ascii="Helvetica" w:hAnsi="Helvetica" w:cs="Helvetica"/>
      <w:b/>
      <w:bCs/>
      <w:color w:val="000000"/>
      <w:sz w:val="24"/>
      <w:szCs w:val="24"/>
      <w:lang w:eastAsia="en-GB"/>
    </w:rPr>
  </w:style>
  <w:style w:type="character" w:styleId="Hyperlink">
    <w:name w:val="Hyperlink"/>
    <w:basedOn w:val="DefaultParagraphFont"/>
    <w:uiPriority w:val="99"/>
    <w:semiHidden/>
    <w:unhideWhenUsed/>
    <w:rsid w:val="000B37DE"/>
    <w:rPr>
      <w:color w:val="0000FF"/>
      <w:u w:val="single"/>
    </w:rPr>
  </w:style>
  <w:style w:type="character" w:styleId="Strong">
    <w:name w:val="Strong"/>
    <w:basedOn w:val="DefaultParagraphFont"/>
    <w:uiPriority w:val="22"/>
    <w:qFormat/>
    <w:rsid w:val="000B37DE"/>
    <w:rPr>
      <w:b/>
      <w:bCs/>
    </w:rPr>
  </w:style>
  <w:style w:type="character" w:styleId="Emphasis">
    <w:name w:val="Emphasis"/>
    <w:basedOn w:val="DefaultParagraphFont"/>
    <w:uiPriority w:val="20"/>
    <w:qFormat/>
    <w:rsid w:val="000B37DE"/>
    <w:rPr>
      <w:i/>
      <w:iCs/>
    </w:rPr>
  </w:style>
  <w:style w:type="paragraph" w:styleId="BalloonText">
    <w:name w:val="Balloon Text"/>
    <w:basedOn w:val="Normal"/>
    <w:link w:val="BalloonTextChar"/>
    <w:uiPriority w:val="99"/>
    <w:semiHidden/>
    <w:unhideWhenUsed/>
    <w:rsid w:val="000B37DE"/>
    <w:rPr>
      <w:rFonts w:ascii="Tahoma" w:hAnsi="Tahoma" w:cs="Tahoma"/>
      <w:sz w:val="16"/>
      <w:szCs w:val="16"/>
    </w:rPr>
  </w:style>
  <w:style w:type="character" w:customStyle="1" w:styleId="BalloonTextChar">
    <w:name w:val="Balloon Text Char"/>
    <w:basedOn w:val="DefaultParagraphFont"/>
    <w:link w:val="BalloonText"/>
    <w:uiPriority w:val="99"/>
    <w:semiHidden/>
    <w:rsid w:val="000B37D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DE"/>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unhideWhenUsed/>
    <w:qFormat/>
    <w:rsid w:val="000B37DE"/>
    <w:pPr>
      <w:spacing w:line="300" w:lineRule="auto"/>
      <w:outlineLvl w:val="2"/>
    </w:pPr>
    <w:rPr>
      <w:rFonts w:ascii="Helvetica" w:hAnsi="Helvetica" w:cs="Helvetica"/>
      <w:b/>
      <w:bCs/>
      <w:color w:val="000000"/>
      <w:spacing w:val="-8"/>
      <w:sz w:val="27"/>
      <w:szCs w:val="27"/>
    </w:rPr>
  </w:style>
  <w:style w:type="paragraph" w:styleId="Heading4">
    <w:name w:val="heading 4"/>
    <w:basedOn w:val="Normal"/>
    <w:link w:val="Heading4Char"/>
    <w:uiPriority w:val="9"/>
    <w:unhideWhenUsed/>
    <w:qFormat/>
    <w:rsid w:val="000B37DE"/>
    <w:pPr>
      <w:spacing w:line="300" w:lineRule="auto"/>
      <w:outlineLvl w:val="3"/>
    </w:pPr>
    <w:rPr>
      <w:rFonts w:ascii="Helvetica" w:hAnsi="Helvetica" w:cs="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37DE"/>
    <w:rPr>
      <w:rFonts w:ascii="Helvetica" w:hAnsi="Helvetica" w:cs="Helvetica"/>
      <w:b/>
      <w:bCs/>
      <w:color w:val="000000"/>
      <w:spacing w:val="-8"/>
      <w:sz w:val="27"/>
      <w:szCs w:val="27"/>
      <w:lang w:eastAsia="en-GB"/>
    </w:rPr>
  </w:style>
  <w:style w:type="character" w:customStyle="1" w:styleId="Heading4Char">
    <w:name w:val="Heading 4 Char"/>
    <w:basedOn w:val="DefaultParagraphFont"/>
    <w:link w:val="Heading4"/>
    <w:uiPriority w:val="9"/>
    <w:rsid w:val="000B37DE"/>
    <w:rPr>
      <w:rFonts w:ascii="Helvetica" w:hAnsi="Helvetica" w:cs="Helvetica"/>
      <w:b/>
      <w:bCs/>
      <w:color w:val="000000"/>
      <w:sz w:val="24"/>
      <w:szCs w:val="24"/>
      <w:lang w:eastAsia="en-GB"/>
    </w:rPr>
  </w:style>
  <w:style w:type="character" w:styleId="Hyperlink">
    <w:name w:val="Hyperlink"/>
    <w:basedOn w:val="DefaultParagraphFont"/>
    <w:uiPriority w:val="99"/>
    <w:semiHidden/>
    <w:unhideWhenUsed/>
    <w:rsid w:val="000B37DE"/>
    <w:rPr>
      <w:color w:val="0000FF"/>
      <w:u w:val="single"/>
    </w:rPr>
  </w:style>
  <w:style w:type="character" w:styleId="Strong">
    <w:name w:val="Strong"/>
    <w:basedOn w:val="DefaultParagraphFont"/>
    <w:uiPriority w:val="22"/>
    <w:qFormat/>
    <w:rsid w:val="000B37DE"/>
    <w:rPr>
      <w:b/>
      <w:bCs/>
    </w:rPr>
  </w:style>
  <w:style w:type="character" w:styleId="Emphasis">
    <w:name w:val="Emphasis"/>
    <w:basedOn w:val="DefaultParagraphFont"/>
    <w:uiPriority w:val="20"/>
    <w:qFormat/>
    <w:rsid w:val="000B37DE"/>
    <w:rPr>
      <w:i/>
      <w:iCs/>
    </w:rPr>
  </w:style>
  <w:style w:type="paragraph" w:styleId="BalloonText">
    <w:name w:val="Balloon Text"/>
    <w:basedOn w:val="Normal"/>
    <w:link w:val="BalloonTextChar"/>
    <w:uiPriority w:val="99"/>
    <w:semiHidden/>
    <w:unhideWhenUsed/>
    <w:rsid w:val="000B37DE"/>
    <w:rPr>
      <w:rFonts w:ascii="Tahoma" w:hAnsi="Tahoma" w:cs="Tahoma"/>
      <w:sz w:val="16"/>
      <w:szCs w:val="16"/>
    </w:rPr>
  </w:style>
  <w:style w:type="character" w:customStyle="1" w:styleId="BalloonTextChar">
    <w:name w:val="Balloon Text Char"/>
    <w:basedOn w:val="DefaultParagraphFont"/>
    <w:link w:val="BalloonText"/>
    <w:uiPriority w:val="99"/>
    <w:semiHidden/>
    <w:rsid w:val="000B37D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risonersadvice.org.uk?subject=PAS%20email%20update" TargetMode="External"/><Relationship Id="rId13" Type="http://schemas.openxmlformats.org/officeDocument/2006/relationships/image" Target="media/image1.png"/><Relationship Id="rId18" Type="http://schemas.openxmlformats.org/officeDocument/2006/relationships/image" Target="https://gallery.mailchimp.com/e2fa77ff74ae2b6cdc9fd583b/images/376b24cc-1e1b-4563-8ed8-b4cd853373f7.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isonersadvice.us10.list-manage.com/track/click?u=e2fa77ff74ae2b6cdc9fd583b&amp;id=5f4ca85570&amp;e=e0747c9afa" TargetMode="External"/><Relationship Id="rId12" Type="http://schemas.openxmlformats.org/officeDocument/2006/relationships/hyperlink" Target="http://prisonersadvice.us10.list-manage2.com/track/click?u=e2fa77ff74ae2b6cdc9fd583b&amp;id=7320b8506c&amp;e=e0747c9afa" TargetMode="External"/><Relationship Id="rId17" Type="http://schemas.openxmlformats.org/officeDocument/2006/relationships/hyperlink" Target="http://prisonersadvice.us10.list-manage.com/track/click?u=e2fa77ff74ae2b6cdc9fd583b&amp;id=1bf58b6fd9&amp;e=e0747c9afa" TargetMode="External"/><Relationship Id="rId2" Type="http://schemas.microsoft.com/office/2007/relationships/stylesWithEffects" Target="stylesWithEffects.xml"/><Relationship Id="rId16" Type="http://schemas.openxmlformats.org/officeDocument/2006/relationships/image" Target="https://gallery.mailchimp.com/e2fa77ff74ae2b6cdc9fd583b/images/de895cfc-9677-447a-a89c-6e341c3c56ed.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gallery.mailchimp.com/e2fa77ff74ae2b6cdc9fd583b/images/7ad00416-0fa2-4a1d-ac9a-8fbb237eebde.jpg" TargetMode="External"/><Relationship Id="rId11" Type="http://schemas.openxmlformats.org/officeDocument/2006/relationships/hyperlink" Target="http://prisonersadvice.us10.list-manage.com/track/click?u=e2fa77ff74ae2b6cdc9fd583b&amp;id=3c6642c475&amp;e=e0747c9afa" TargetMode="External"/><Relationship Id="rId5" Type="http://schemas.openxmlformats.org/officeDocument/2006/relationships/hyperlink" Target="http://us10.campaign-archive2.com/?u=e2fa77ff74ae2b6cdc9fd583b&amp;id=fa8b872c83&amp;e=e0747c9afa" TargetMode="External"/><Relationship Id="rId15" Type="http://schemas.openxmlformats.org/officeDocument/2006/relationships/image" Target="https://gallery.mailchimp.com/e2fa77ff74ae2b6cdc9fd583b/images/6f55cc35-fee7-4768-89c0-80d8c9ab5e91.jpg" TargetMode="External"/><Relationship Id="rId10" Type="http://schemas.openxmlformats.org/officeDocument/2006/relationships/hyperlink" Target="http://prisonersadvice.us10.list-manage1.com/track/click?u=e2fa77ff74ae2b6cdc9fd583b&amp;id=7385a4b007&amp;e=e0747c9afa" TargetMode="External"/><Relationship Id="rId19" Type="http://schemas.openxmlformats.org/officeDocument/2006/relationships/hyperlink" Target="mailto:admin@prisonersadvice.org.uk" TargetMode="External"/><Relationship Id="rId4" Type="http://schemas.openxmlformats.org/officeDocument/2006/relationships/webSettings" Target="webSettings.xml"/><Relationship Id="rId9" Type="http://schemas.openxmlformats.org/officeDocument/2006/relationships/hyperlink" Target="http://prisonersadvice.us10.list-manage.com/track/click?u=e2fa77ff74ae2b6cdc9fd583b&amp;id=c654325890&amp;e=e0747c9afa" TargetMode="External"/><Relationship Id="rId14" Type="http://schemas.openxmlformats.org/officeDocument/2006/relationships/hyperlink" Target="http://prisonersadvice.us10.list-manage1.com/track/click?u=e2fa77ff74ae2b6cdc9fd583b&amp;id=5518c9af81&amp;e=e0747c9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Gannon</dc:creator>
  <cp:lastModifiedBy>Adrian Gannon</cp:lastModifiedBy>
  <cp:revision>1</cp:revision>
  <dcterms:created xsi:type="dcterms:W3CDTF">2016-03-07T11:53:00Z</dcterms:created>
  <dcterms:modified xsi:type="dcterms:W3CDTF">2016-03-07T11:54:00Z</dcterms:modified>
</cp:coreProperties>
</file>